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/>
      </w:pPr>
      <w:bookmarkStart w:id="0" w:name="Par1"/>
      <w:bookmarkEnd w:id="0"/>
      <w:r>
        <w:rPr/>
        <w:t>Зарегистрировано в Минюсте России 21 октября 2011 г. N 22111</w:t>
      </w:r>
    </w:p>
    <w:p>
      <w:pPr>
        <w:pStyle w:val="ConsPlusNormal"/>
        <w:pBdr>
          <w:bottom w:val="single" w:sz="6" w:space="0" w:color="000001"/>
        </w:pBdr>
        <w:rPr>
          <w:sz w:val="5"/>
          <w:szCs w:val="5"/>
        </w:rPr>
      </w:pPr>
      <w:r>
        <w:rPr>
          <w:sz w:val="5"/>
          <w:szCs w:val="5"/>
        </w:rPr>
      </w:r>
    </w:p>
    <w:p>
      <w:pPr>
        <w:pStyle w:val="ConsPlusNormal"/>
        <w:rPr>
          <w:sz w:val="5"/>
          <w:szCs w:val="5"/>
        </w:rPr>
      </w:pPr>
      <w:r>
        <w:rPr>
          <w:sz w:val="5"/>
          <w:szCs w:val="5"/>
        </w:rPr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апреля 2011 г. N 302н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ПЕРЕЧНЕЙ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ВРЕДНЫХ И (ИЛИ) ОПАСНЫХ ПРОИЗВОДСТВЕННЫХ ФАКТОРОВ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РАБОТ, ПРИ ВЫПОЛНЕНИИ КОТОРЫХ ПРОВОДЯТСЯ ОБЯЗАТЕЛЬНЫЕ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ПРЕДВАРИТЕЛЬНЫЕ И ПЕРИОДИЧЕСКИЕ МЕДИЦИНСКИЕ ОСМОТРЫ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(ОБСЛЕДОВАНИЯ), И ПОРЯДКА ПРОВЕДЕНИЯ ОБЯЗАТЕЛЬНЫХ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ПРЕДВАРИТЕЛЬНЫХ И ПЕРИОДИЧЕСКИХ МЕДИЦИНСКИХ ОСМОТРОВ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(ОБСЛЕДОВАНИЙ) РАБОТНИКОВ, ЗАНЯТЫХ НА ТЯЖЕЛЫХ РАБОТАХ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 РАБОТАХ С ВРЕДНЫМИ И (ИЛИ) ОПАСНЫМИ УСЛОВИЯМИ ТРУДА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sPlusNormal"/>
        <w:jc w:val="center"/>
        <w:rPr/>
      </w:pPr>
      <w:r>
        <w:rPr/>
        <w:t>(в ред. Приказа Минздрава России от 15.05.2013 N 296н)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pBdr>
          <w:bottom w:val="single" w:sz="6" w:space="0" w:color="000001"/>
        </w:pBdr>
        <w:rPr>
          <w:sz w:val="5"/>
          <w:szCs w:val="5"/>
        </w:rPr>
      </w:pPr>
      <w:r>
        <w:rPr>
          <w:sz w:val="5"/>
          <w:szCs w:val="5"/>
        </w:rPr>
      </w:r>
    </w:p>
    <w:p>
      <w:pPr>
        <w:pStyle w:val="ConsPlusNormal"/>
        <w:ind w:firstLine="540"/>
        <w:jc w:val="both"/>
        <w:rPr/>
      </w:pPr>
      <w:r>
        <w:rPr/>
        <w:t>КонсультантПлюс: примечание.</w:t>
      </w:r>
    </w:p>
    <w:p>
      <w:pPr>
        <w:pStyle w:val="ConsPlusNormal"/>
        <w:ind w:firstLine="540"/>
        <w:jc w:val="both"/>
        <w:rPr/>
      </w:pPr>
      <w:r>
        <w:rPr/>
        <w:t>Постановление Правительства РФ от 30.06.2004 N 321 утратило силу в связи с изданием Постановления Правительства РФ от 28.06.2012 N 655.</w:t>
      </w:r>
    </w:p>
    <w:p>
      <w:pPr>
        <w:pStyle w:val="ConsPlusNormal"/>
        <w:ind w:firstLine="540"/>
        <w:jc w:val="both"/>
        <w:rPr/>
      </w:pPr>
      <w:r>
        <w:rPr/>
        <w:t>Постановлением Правительства РФ от 19.06.2012 N 610 утверждено Положение о Министерстве труда и социальной защиты Российской Федерации, подпунктом 5.2.101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>
      <w:pPr>
        <w:pStyle w:val="ConsPlusNormal"/>
        <w:pBdr>
          <w:bottom w:val="single" w:sz="6" w:space="0" w:color="000001"/>
        </w:pBdr>
        <w:rPr>
          <w:sz w:val="5"/>
          <w:szCs w:val="5"/>
        </w:rPr>
      </w:pPr>
      <w:r>
        <w:rPr>
          <w:sz w:val="5"/>
          <w:szCs w:val="5"/>
        </w:rPr>
      </w:r>
    </w:p>
    <w:p>
      <w:pPr>
        <w:pStyle w:val="ConsPlusNormal"/>
        <w:ind w:firstLine="540"/>
        <w:jc w:val="both"/>
        <w:rPr/>
      </w:pPr>
      <w:r>
        <w:rPr/>
        <w:t>В соответствии со статьей 213 Трудового кодекса Российской Федерации (Собрание законодательства Российской Федерации, 2002, N 1 (ч. I), ст. 3; 2004, N 35, ст. 3607; 2006, N 27, ст. 2878; 2008, N 30 (ч. II),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>
      <w:pPr>
        <w:pStyle w:val="ConsPlusNormal"/>
        <w:ind w:firstLine="540"/>
        <w:jc w:val="both"/>
        <w:rPr/>
      </w:pPr>
      <w:r>
        <w:rPr/>
        <w:t>1. Утвердить:</w:t>
      </w:r>
    </w:p>
    <w:p>
      <w:pPr>
        <w:pStyle w:val="ConsPlusNormal"/>
        <w:ind w:firstLine="540"/>
        <w:jc w:val="both"/>
        <w:rPr/>
      </w:pPr>
      <w:r>
        <w:rPr/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ar51">
        <w:r>
          <w:rPr>
            <w:rStyle w:val="Style12"/>
            <w:color w:val="0000FF"/>
          </w:rPr>
          <w:t>приложению N 1</w:t>
        </w:r>
      </w:hyperlink>
      <w:r>
        <w:rPr/>
        <w:t>;</w:t>
      </w:r>
    </w:p>
    <w:p>
      <w:pPr>
        <w:pStyle w:val="ConsPlusNormal"/>
        <w:ind w:firstLine="540"/>
        <w:jc w:val="both"/>
        <w:rPr/>
      </w:pPr>
      <w:r>
        <w:rPr/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ar2818">
        <w:r>
          <w:rPr>
            <w:rStyle w:val="Style12"/>
            <w:color w:val="0000FF"/>
          </w:rPr>
          <w:t>приложению N 2</w:t>
        </w:r>
      </w:hyperlink>
      <w:r>
        <w:rPr/>
        <w:t>;</w:t>
      </w:r>
    </w:p>
    <w:p>
      <w:pPr>
        <w:pStyle w:val="ConsPlusNormal"/>
        <w:ind w:firstLine="540"/>
        <w:jc w:val="both"/>
        <w:rPr/>
      </w:pPr>
      <w:r>
        <w:rPr/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4391">
        <w:r>
          <w:rPr>
            <w:rStyle w:val="Style12"/>
            <w:color w:val="0000FF"/>
          </w:rPr>
          <w:t>приложению N 3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>
      <w:pPr>
        <w:pStyle w:val="ConsPlusNormal"/>
        <w:ind w:firstLine="540"/>
        <w:jc w:val="both"/>
        <w:rPr/>
      </w:pPr>
      <w:r>
        <w:rPr/>
        <w:t>3. Признать утратившими силу с 1 января 2012 года:</w:t>
      </w:r>
    </w:p>
    <w:p>
      <w:pPr>
        <w:pStyle w:val="ConsPlusNormal"/>
        <w:ind w:firstLine="540"/>
        <w:jc w:val="both"/>
        <w:rPr/>
      </w:pPr>
      <w:r>
        <w:rPr/>
        <w:t>Приказ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>
      <w:pPr>
        <w:pStyle w:val="ConsPlusNormal"/>
        <w:ind w:firstLine="540"/>
        <w:jc w:val="both"/>
        <w:rPr/>
      </w:pPr>
      <w:r>
        <w:rPr/>
        <w:t>Приказ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>
      <w:pPr>
        <w:pStyle w:val="ConsPlusNormal"/>
        <w:ind w:firstLine="540"/>
        <w:jc w:val="both"/>
        <w:rPr/>
      </w:pPr>
      <w:r>
        <w:rPr/>
        <w:t>Приказ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>
      <w:pPr>
        <w:pStyle w:val="ConsPlusNormal"/>
        <w:ind w:firstLine="540"/>
        <w:jc w:val="both"/>
        <w:rPr/>
      </w:pPr>
      <w:r>
        <w:rPr/>
        <w:t>4. Установить, что с 1 января 2012 года на территории Российской Федерации не применяются подпункты 11, 12 (за исключением подпунктов 12.2, 12.11, 12.12), 13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Т.ГОЛИКОВА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bottom w:val="single" w:sz="12" w:space="0" w:color="000001"/>
      </w:pBdr>
      <w:jc w:val="center"/>
      <w:rPr>
        <w:sz w:val="2"/>
        <w:szCs w:val="2"/>
      </w:rPr>
    </w:pPr>
    <w:r>
      <w:rPr>
        <w:sz w:val="2"/>
        <w:szCs w:val="2"/>
      </w:rPr>
      <w:t xml:space="preserve"> </w:t>
    </w:r>
  </w:p>
  <w:tbl>
    <w:tblPr>
      <w:tblW w:w="10247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8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rFonts w:ascii="Tahoma" w:hAnsi="Tahoma" w:cs="Tahoma"/>
              <w:b/>
              <w:b/>
              <w:bCs/>
              <w:color w:val="333399"/>
              <w:sz w:val="28"/>
              <w:szCs w:val="28"/>
            </w:rPr>
          </w:pPr>
          <w:r>
            <w:rPr>
              <w:rFonts w:cs="Tahoma" w:ascii="Tahoma" w:hAnsi="Tahoma"/>
              <w:b/>
              <w:bCs/>
              <w:color w:val="333399"/>
              <w:sz w:val="28"/>
              <w:szCs w:val="28"/>
            </w:rPr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Normal"/>
            <w:widowControl w:val="false"/>
            <w:snapToGrid w:val="false"/>
            <w:jc w:val="center"/>
            <w:rPr>
              <w:rFonts w:ascii="Tahoma" w:hAnsi="Tahoma" w:cs="Tahoma"/>
              <w:b/>
              <w:b/>
              <w:bCs/>
              <w:color w:val="333399"/>
              <w:sz w:val="20"/>
              <w:szCs w:val="20"/>
            </w:rPr>
          </w:pPr>
          <w:r>
            <w:rPr>
              <w:rFonts w:cs="Tahoma" w:ascii="Tahoma" w:hAnsi="Tahoma"/>
              <w:b/>
              <w:bCs/>
              <w:color w:val="333399"/>
              <w:sz w:val="20"/>
              <w:szCs w:val="20"/>
            </w:rPr>
          </w:r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Normal"/>
            <w:widowControl w:val="false"/>
            <w:jc w:val="right"/>
            <w:rPr/>
          </w:pPr>
          <w:r>
            <w:rPr>
              <w:rFonts w:cs="Tahoma" w:ascii="Tahoma" w:hAnsi="Tahoma"/>
              <w:sz w:val="20"/>
              <w:szCs w:val="20"/>
            </w:rPr>
            <w:t xml:space="preserve">Страница </w:t>
          </w:r>
          <w:r>
            <w:rPr>
              <w:rFonts w:cs="Tahoma" w:ascii="Tahoma" w:hAnsi="Tahoma"/>
              <w:sz w:val="20"/>
              <w:szCs w:val="2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cs="Tahoma" w:ascii="Tahoma" w:hAnsi="Tahoma"/>
              <w:sz w:val="20"/>
              <w:szCs w:val="20"/>
            </w:rPr>
            <w:t xml:space="preserve"> из </w:t>
          </w:r>
          <w:r>
            <w:rPr>
              <w:rFonts w:cs="Tahoma" w:ascii="Tahoma" w:hAnsi="Tahoma"/>
              <w:sz w:val="20"/>
              <w:szCs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>
        <w:rFonts w:cs="Tahoma" w:ascii="Tahoma" w:hAnsi="Tahoma"/>
        <w:sz w:val="16"/>
        <w:szCs w:val="16"/>
      </w:rPr>
      <w:t>Приказ Минздравсоцразвития России от 12.04.2011 N 302н</w:t>
    </w:r>
    <w:r>
      <w:rPr>
        <w:rFonts w:cs="Tahoma" w:ascii="Tahoma" w:hAnsi="Tahoma"/>
        <w:sz w:val="16"/>
        <w:szCs w:val="16"/>
        <w:lang w:val="en-US"/>
      </w:rPr>
      <w:t xml:space="preserve">  </w:t>
    </w:r>
    <w:r>
      <w:rPr>
        <w:rFonts w:cs="Tahoma" w:ascii="Tahoma" w:hAnsi="Tahoma"/>
        <w:sz w:val="16"/>
        <w:szCs w:val="16"/>
      </w:rPr>
      <w:t>(ред. от 15.05.2013</w:t>
    </w:r>
    <w:r>
      <w:rPr>
        <w:rFonts w:cs="Tahoma" w:ascii="Tahoma" w:hAnsi="Tahoma"/>
        <w:sz w:val="16"/>
        <w:szCs w:val="16"/>
        <w:lang w:val="en-US"/>
      </w:rPr>
      <w:t>)</w:t>
    </w:r>
    <w:r>
      <w:rPr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Основной шрифт абза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zh-CN" w:bidi="ar-SA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18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9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4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Application>LibreOffice/5.0.2.2$Linux_X86_64 LibreOffice_project/00m0$Build-2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2013-11-23T18:04:00Z</dcterms:created>
  <dc:creator>ConsultantPlus</dc:creator>
  <dc:language>ru-RU</dc:language>
  <dcterms:modified xsi:type="dcterms:W3CDTF">2015-12-16T17:16:32Z</dcterms:modified>
  <cp:revision>3</cp:revision>
  <dc:title>Приказ Минздравсоцразвития РФ от 12.04.11 № 302н</dc:title>
</cp:coreProperties>
</file>