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rPr>
          <w:rFonts w:ascii="Times New Roman" w:hAnsi="Times New Roman" w:eastAsia="Times New Roman" w:cs="Times New Roman"/>
          <w:b/>
          <w:b/>
          <w:bCs/>
          <w:sz w:val="36"/>
          <w:szCs w:val="36"/>
          <w:lang w:eastAsia="ru-RU"/>
        </w:rPr>
      </w:pPr>
      <w:r>
        <w:rPr/>
        <w:drawing>
          <wp:inline distT="0" distB="0" distL="0" distR="0">
            <wp:extent cx="2698115" cy="88011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698115" cy="880110"/>
                    </a:xfrm>
                    <a:prstGeom prst="rect">
                      <a:avLst/>
                    </a:prstGeom>
                  </pic:spPr>
                </pic:pic>
              </a:graphicData>
            </a:graphic>
          </wp:inline>
        </w:drawing>
      </w:r>
    </w:p>
    <w:p>
      <w:pPr>
        <w:pStyle w:val="Normal"/>
        <w:numPr>
          <w:ilvl w:val="0"/>
          <w:numId w:val="0"/>
        </w:numPr>
        <w:spacing w:before="280" w:after="280"/>
        <w:ind w:left="0" w:right="0" w:hanging="0"/>
        <w:jc w:val="both"/>
        <w:rPr>
          <w:rFonts w:ascii="Times New Roman" w:hAnsi="Times New Roman" w:eastAsia="Times New Roman" w:cs="Times New Roman"/>
          <w:b/>
          <w:b/>
          <w:bCs/>
          <w:sz w:val="48"/>
          <w:szCs w:val="48"/>
          <w:lang w:eastAsia="ru-RU"/>
        </w:rPr>
      </w:pPr>
      <w:r>
        <w:rPr>
          <w:rFonts w:eastAsia="Times New Roman" w:cs="Times New Roman" w:ascii="Times New Roman" w:hAnsi="Times New Roman"/>
          <w:b/>
          <w:bCs/>
          <w:sz w:val="36"/>
          <w:szCs w:val="36"/>
          <w:lang w:eastAsia="ru-RU"/>
        </w:rPr>
        <w:t>Федеральный закон №426-ФЗ от 28 декабря 2013 г.</w:t>
      </w:r>
    </w:p>
    <w:p>
      <w:pPr>
        <w:pStyle w:val="Normal"/>
        <w:numPr>
          <w:ilvl w:val="0"/>
          <w:numId w:val="0"/>
        </w:numPr>
        <w:spacing w:before="280" w:after="280"/>
        <w:ind w:left="0" w:right="0" w:hanging="0"/>
        <w:jc w:val="both"/>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48"/>
          <w:szCs w:val="48"/>
          <w:lang w:eastAsia="ru-RU"/>
        </w:rPr>
        <w:t>О специальной оценке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Глава 1. Общие положения</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1. </w:t>
      </w:r>
      <w:r>
        <w:rPr>
          <w:rFonts w:eastAsia="Times New Roman" w:cs="Times New Roman" w:ascii="Times New Roman" w:hAnsi="Times New Roman"/>
          <w:b/>
          <w:bCs/>
          <w:sz w:val="24"/>
          <w:szCs w:val="24"/>
          <w:lang w:eastAsia="ru-RU"/>
        </w:rPr>
        <w:t>Предмет регулирования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2. </w:t>
      </w:r>
      <w:r>
        <w:rPr>
          <w:rFonts w:eastAsia="Times New Roman" w:cs="Times New Roman" w:ascii="Times New Roman" w:hAnsi="Times New Roman"/>
          <w:b/>
          <w:bCs/>
          <w:sz w:val="24"/>
          <w:szCs w:val="24"/>
          <w:lang w:eastAsia="ru-RU"/>
        </w:rPr>
        <w:t>Регулирование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3. </w:t>
      </w:r>
      <w:r>
        <w:rPr>
          <w:rFonts w:eastAsia="Times New Roman" w:cs="Times New Roman" w:ascii="Times New Roman" w:hAnsi="Times New Roman"/>
          <w:b/>
          <w:bCs/>
          <w:sz w:val="24"/>
          <w:szCs w:val="24"/>
          <w:lang w:eastAsia="ru-RU"/>
        </w:rPr>
        <w:t>Специальная оценка условий труд</w:t>
      </w:r>
      <w:r>
        <w:rPr>
          <w:rFonts w:eastAsia="Times New Roman" w:cs="Times New Roman" w:ascii="Times New Roman" w:hAnsi="Times New Roman"/>
          <w:sz w:val="24"/>
          <w:szCs w:val="24"/>
          <w:lang w:eastAsia="ru-RU"/>
        </w:rPr>
        <w:t>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По результатам проведения специальной оценки условий труда устанавливаются классы (подклассы) условий труда на рабочих местах.</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Статья 4. </w:t>
      </w:r>
      <w:r>
        <w:rPr>
          <w:rFonts w:eastAsia="Times New Roman" w:cs="Times New Roman" w:ascii="Times New Roman" w:hAnsi="Times New Roman"/>
          <w:b/>
          <w:bCs/>
          <w:sz w:val="24"/>
          <w:szCs w:val="24"/>
          <w:shd w:fill="auto" w:val="clear"/>
          <w:lang w:eastAsia="ru-RU"/>
        </w:rPr>
        <w:t>Права и обязанности работодателя в связи с проведением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Работодатель вправе:</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требовать от организации, проводящей специальную оценку условий труда, обоснования результатов ее проведения;</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проводить внеплановую специальную оценку условий труда в порядке, установленном настоящим Федеральным законом;</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Работодатель обязан:</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ознакомить в письменной форме работника с результатами проведения специальной оценки условий труда на его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давать работнику необходимые разъяснения по вопросам проведения специальной оценки условий труда на его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5. </w:t>
      </w:r>
      <w:r>
        <w:rPr>
          <w:rFonts w:eastAsia="Times New Roman" w:cs="Times New Roman" w:ascii="Times New Roman" w:hAnsi="Times New Roman"/>
          <w:b/>
          <w:bCs/>
          <w:sz w:val="24"/>
          <w:szCs w:val="24"/>
          <w:shd w:fill="auto" w:val="clear"/>
          <w:lang w:eastAsia="ru-RU"/>
        </w:rPr>
        <w:t>Права и обязанности работника в связи с проведением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Работник вправе: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присутствовать при проведении специальной оценки условий труда на его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Работник обязан ознакомиться с результатами проведенной на его рабочем месте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6. </w:t>
      </w:r>
      <w:r>
        <w:rPr>
          <w:rFonts w:eastAsia="Times New Roman" w:cs="Times New Roman" w:ascii="Times New Roman" w:hAnsi="Times New Roman"/>
          <w:b/>
          <w:bCs/>
          <w:sz w:val="24"/>
          <w:szCs w:val="24"/>
          <w:shd w:fill="auto" w:val="clear"/>
          <w:lang w:eastAsia="ru-RU"/>
        </w:rPr>
        <w:t>Права и обязанности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Организация, проводящая специальную оценку условий труда, вправе: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Организация, проводящая специальную оценку условий труда, обязана: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не приступать к проведению специальной оценки условий труда либо приостанавливать ее проведение в случаях: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7. </w:t>
      </w:r>
      <w:r>
        <w:rPr>
          <w:rFonts w:eastAsia="Times New Roman" w:cs="Times New Roman" w:ascii="Times New Roman" w:hAnsi="Times New Roman"/>
          <w:b/>
          <w:bCs/>
          <w:sz w:val="24"/>
          <w:szCs w:val="24"/>
          <w:shd w:fill="auto" w:val="clear"/>
          <w:lang w:eastAsia="ru-RU"/>
        </w:rPr>
        <w:t>Применение результатов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Результаты проведения специальной оценки условий труда могут применяться для: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разработки и реализации мероприятий, направленных на улучшение условий труда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обеспечения работников средствами индивидуальной защиты, а также оснащения рабочих мест средствами коллективной защиты;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осуществления контроля за состоянием условий труда на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установления работникам предусмотренных Трудовым кодексом Российской Федерации гарантий и компенсаций;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10) подготовки статистической отчетности об условиях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14) принятия решения об установлении предусмотренных трудовым законодательством ограничений для отдельных категорий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15) оценки уровней профессиональных рисков;</w:t>
      </w:r>
    </w:p>
    <w:p>
      <w:pPr>
        <w:pStyle w:val="Normal"/>
        <w:spacing w:before="280" w:after="280"/>
        <w:ind w:left="0" w:right="0" w:hanging="0"/>
        <w:jc w:val="both"/>
        <w:rPr>
          <w:rFonts w:ascii="Times New Roman" w:hAnsi="Times New Roman" w:eastAsia="Times New Roman" w:cs="Times New Roman"/>
          <w:b/>
          <w:b/>
          <w:bCs/>
          <w:sz w:val="24"/>
          <w:szCs w:val="24"/>
          <w:shd w:fill="auto" w:val="clear"/>
          <w:lang w:eastAsia="ru-RU"/>
        </w:rPr>
      </w:pPr>
      <w:r>
        <w:rPr>
          <w:rFonts w:eastAsia="Times New Roman" w:cs="Times New Roman" w:ascii="Times New Roman" w:hAnsi="Times New Roman"/>
          <w:sz w:val="24"/>
          <w:szCs w:val="24"/>
          <w:shd w:fill="auto" w:val="clear"/>
          <w:lang w:eastAsia="ru-RU"/>
        </w:rPr>
        <w:t>16) иных целей, предусмотренных федеральными законами и иными нормативными правовыми актами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b/>
          <w:bCs/>
          <w:sz w:val="24"/>
          <w:szCs w:val="24"/>
          <w:shd w:fill="auto" w:val="clear"/>
          <w:lang w:eastAsia="ru-RU"/>
        </w:rPr>
        <w:t>Глава 2. Порядок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8. </w:t>
      </w:r>
      <w:r>
        <w:rPr>
          <w:rFonts w:eastAsia="Times New Roman" w:cs="Times New Roman" w:ascii="Times New Roman" w:hAnsi="Times New Roman"/>
          <w:b/>
          <w:bCs/>
          <w:sz w:val="24"/>
          <w:szCs w:val="24"/>
          <w:shd w:fill="auto" w:val="clear"/>
          <w:lang w:eastAsia="ru-RU"/>
        </w:rPr>
        <w:t>Организация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Обязанности по организации и финансированию проведения специальной оценки условий труда возлагаются на работодателя.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9. </w:t>
      </w:r>
      <w:r>
        <w:rPr>
          <w:rFonts w:eastAsia="Times New Roman" w:cs="Times New Roman" w:ascii="Times New Roman" w:hAnsi="Times New Roman"/>
          <w:b/>
          <w:bCs/>
          <w:sz w:val="24"/>
          <w:szCs w:val="24"/>
          <w:shd w:fill="auto" w:val="clear"/>
          <w:lang w:eastAsia="ru-RU"/>
        </w:rPr>
        <w:t>Подготовка к проведению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Комиссию возглавляет работодатель или его представитель.</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10. </w:t>
      </w:r>
      <w:r>
        <w:rPr>
          <w:rFonts w:eastAsia="Times New Roman" w:cs="Times New Roman" w:ascii="Times New Roman" w:hAnsi="Times New Roman"/>
          <w:b/>
          <w:bCs/>
          <w:sz w:val="24"/>
          <w:szCs w:val="24"/>
          <w:shd w:fill="auto" w:val="clear"/>
          <w:lang w:eastAsia="ru-RU"/>
        </w:rPr>
        <w:t>Идентификация потенциально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Идентификация потенциально вредных и (или) опасных производственных факторов не осуществляется в отношении:</w:t>
      </w:r>
    </w:p>
    <w:p>
      <w:pPr>
        <w:pStyle w:val="Normal"/>
        <w:shd w:fill="8DB3E2" w:val="clear"/>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11. </w:t>
      </w:r>
      <w:r>
        <w:rPr>
          <w:rFonts w:eastAsia="Times New Roman" w:cs="Times New Roman" w:ascii="Times New Roman" w:hAnsi="Times New Roman"/>
          <w:b/>
          <w:bCs/>
          <w:sz w:val="24"/>
          <w:szCs w:val="24"/>
          <w:shd w:fill="auto" w:val="clear"/>
          <w:lang w:eastAsia="ru-RU"/>
        </w:rPr>
        <w:t>Декларирование соответствия условий труда государственным нормативным требованиям охраны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12. </w:t>
      </w:r>
      <w:r>
        <w:rPr>
          <w:rFonts w:eastAsia="Times New Roman" w:cs="Times New Roman" w:ascii="Times New Roman" w:hAnsi="Times New Roman"/>
          <w:b/>
          <w:bCs/>
          <w:sz w:val="24"/>
          <w:szCs w:val="24"/>
          <w:shd w:fill="auto" w:val="clear"/>
          <w:lang w:eastAsia="ru-RU"/>
        </w:rPr>
        <w:t>Исследования (испытания) и измерения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13. </w:t>
      </w:r>
      <w:r>
        <w:rPr>
          <w:rFonts w:eastAsia="Times New Roman" w:cs="Times New Roman" w:ascii="Times New Roman" w:hAnsi="Times New Roman"/>
          <w:b/>
          <w:bCs/>
          <w:sz w:val="24"/>
          <w:szCs w:val="24"/>
          <w:shd w:fill="auto" w:val="clear"/>
          <w:lang w:eastAsia="ru-RU"/>
        </w:rPr>
        <w:t>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напряженность трудового процесса - показатели сенсорной нагрузки на центральную нервную систему и органы чувств работника.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температура воздуха;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относительная влажность воздуха;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скорость движения воздуха;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интенсивность и экспозиционная доза инфракрасного излучения;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напряженность переменного электрического поля промышленной частоты (50 Герц);</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напряженность переменного магнитного поля промышленной частоты (50 Герц);</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напряженность переменного электрического поля электромагнитных излучений радиочастотного диапазона;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напряженность переменного магнитного поля электромагнитных излучений радиочастотного диапазона;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 напряженность электростатического поля и постоянного магнитного поля;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10) интенсивность источников ультрафиолетового излучения в диапазоне длин волн 200 - 400 нанометров;</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18"/>
          <w:szCs w:val="18"/>
          <w:shd w:fill="auto" w:val="clear"/>
          <w:lang w:val="ru-RU" w:eastAsia="ru-RU"/>
        </w:rPr>
        <w:drawing>
          <wp:inline distT="0" distB="0" distL="0" distR="0">
            <wp:extent cx="5925185" cy="7715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5925185" cy="771525"/>
                    </a:xfrm>
                    <a:prstGeom prst="rect">
                      <a:avLst/>
                    </a:prstGeom>
                  </pic:spPr>
                </pic:pic>
              </a:graphicData>
            </a:graphic>
          </wp:inline>
        </w:drawing>
      </w:r>
      <w:r>
        <w:rPr>
          <w:rFonts w:eastAsia="Times New Roman" w:cs="Times New Roman" w:ascii="Times New Roman" w:hAnsi="Times New Roman"/>
          <w:sz w:val="24"/>
          <w:szCs w:val="24"/>
          <w:shd w:fill="auto" w:val="clear"/>
          <w:lang w:eastAsia="ru-RU"/>
        </w:rPr>
        <w:t>;</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12) энергетическая экспозиция лазерного излучения;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13) мощность амбиентного эквивалента дозы гамма-излучения, рентгеновского и нейтронного излучений;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15) уровень звука;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16) общий уровень звукового давления инфразвука;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17) ультразвук воздушный;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18) вибрация общая и локальная;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19) освещенность рабочей поверхности;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21) массовая концентрация аэрозолей в воздухе рабочей зоны;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23) напряженность трудового процесса работников, трудовая функция которых: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в) связана с длительной работой с оптическими приборами;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г) связана с постоянной нагрузкой на голосовой аппарат;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24) биологические факторы (в соответствии с областью аккредитации испытательной лаборатории (центра).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Статья 14. Классификация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 xml:space="preserve">5. </w:t>
      </w:r>
      <w:r>
        <w:rPr>
          <w:rFonts w:eastAsia="Times New Roman" w:cs="Times New Roman" w:ascii="Times New Roman" w:hAnsi="Times New Roman"/>
          <w:b/>
          <w:sz w:val="24"/>
          <w:szCs w:val="24"/>
          <w:shd w:fill="auto" w:val="clear"/>
          <w:lang w:eastAsia="ru-RU"/>
        </w:rPr>
        <w:t>Опасными условиями труда</w:t>
      </w:r>
      <w:r>
        <w:rPr>
          <w:rFonts w:eastAsia="Times New Roman" w:cs="Times New Roman" w:ascii="Times New Roman" w:hAnsi="Times New Roman"/>
          <w:sz w:val="24"/>
          <w:szCs w:val="24"/>
          <w:shd w:fill="auto" w:val="clear"/>
          <w:lang w:eastAsia="ru-RU"/>
        </w:rPr>
        <w:t xml:space="preserve">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По согласованию с территориальным органом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15. </w:t>
      </w:r>
      <w:r>
        <w:rPr>
          <w:rFonts w:eastAsia="Times New Roman" w:cs="Times New Roman" w:ascii="Times New Roman" w:hAnsi="Times New Roman"/>
          <w:b/>
          <w:bCs/>
          <w:sz w:val="24"/>
          <w:szCs w:val="24"/>
          <w:shd w:fill="auto" w:val="clear"/>
          <w:lang w:eastAsia="ru-RU"/>
        </w:rPr>
        <w:t>Результаты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протоколы проведения исследований (испытаний) и измерений идентифицированных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протоколы оценки эффективности средств индивидуальной защиты;</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сводная ведомость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9) заключения эксперта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16. </w:t>
      </w:r>
      <w:r>
        <w:rPr>
          <w:rFonts w:eastAsia="Times New Roman" w:cs="Times New Roman" w:ascii="Times New Roman" w:hAnsi="Times New Roman"/>
          <w:b/>
          <w:bCs/>
          <w:sz w:val="24"/>
          <w:szCs w:val="24"/>
          <w:shd w:fill="auto" w:val="clear"/>
          <w:lang w:eastAsia="ru-RU"/>
        </w:rPr>
        <w:t>Особенности проведения специальной оценки условий труда на отдельных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На аналогичные рабочие места заполняется одна карта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17. </w:t>
      </w:r>
      <w:r>
        <w:rPr>
          <w:rFonts w:eastAsia="Times New Roman" w:cs="Times New Roman" w:ascii="Times New Roman" w:hAnsi="Times New Roman"/>
          <w:b/>
          <w:bCs/>
          <w:sz w:val="24"/>
          <w:szCs w:val="24"/>
          <w:shd w:fill="auto" w:val="clear"/>
          <w:lang w:eastAsia="ru-RU"/>
        </w:rPr>
        <w:t>Проведение внеплановой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Внеплановая специальная оценка условий труда должна проводиться в следующих случаях: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ввод в эксплуатацию вновь организованных рабочих мест;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18. </w:t>
      </w:r>
      <w:r>
        <w:rPr>
          <w:rFonts w:eastAsia="Times New Roman" w:cs="Times New Roman" w:ascii="Times New Roman" w:hAnsi="Times New Roman"/>
          <w:b/>
          <w:bCs/>
          <w:sz w:val="24"/>
          <w:szCs w:val="24"/>
          <w:shd w:fill="auto" w:val="clear"/>
          <w:lang w:eastAsia="ru-RU"/>
        </w:rPr>
        <w:t>Федеральная государственная информационная система учета результатов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В информационной системе учета объектами учета являются следующие сведения: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в отношении работодателя: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а) полное наименование;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б) место нахождения и место осуществления деятельности;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в) идентификационный номер налогоплательщика;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г) основной государственный регистрационный номер;</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д) код по Общероссийскому классификатору видов экономической деятельности;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е) количество рабочих мест;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ж) количество рабочих мест, на которых проведена специальная оценка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з) распределение рабочих мест по классам (подклассам)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в отношении рабочего места: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а) индивидуальный номер рабочего места;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в) страховой номер индивидуального лицевого счета работника или работников, занятых на данном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г) численность работников, занятых на данном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е) основание для формирования прав на досрочную трудовую пенсию по старости (при наличии);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в отношении организации, проводившей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а) полное наименование;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б) регистрационный номер записи в реестре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в) идентификационный номер налогоплательщика;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г) основной государственный регистрационный номер;</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pPr>
        <w:pStyle w:val="Normal"/>
        <w:spacing w:before="280" w:after="280"/>
        <w:ind w:left="0" w:right="0" w:hanging="0"/>
        <w:jc w:val="both"/>
        <w:rPr>
          <w:rFonts w:ascii="Times New Roman" w:hAnsi="Times New Roman" w:eastAsia="Times New Roman" w:cs="Times New Roman"/>
          <w:b/>
          <w:b/>
          <w:bCs/>
          <w:sz w:val="24"/>
          <w:szCs w:val="24"/>
          <w:shd w:fill="auto" w:val="clear"/>
          <w:lang w:eastAsia="ru-RU"/>
        </w:rPr>
      </w:pPr>
      <w:r>
        <w:rPr>
          <w:rFonts w:eastAsia="Times New Roman" w:cs="Times New Roman" w:ascii="Times New Roman" w:hAnsi="Times New Roman"/>
          <w:sz w:val="24"/>
          <w:szCs w:val="24"/>
          <w:shd w:fill="auto" w:val="clear"/>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b/>
          <w:bCs/>
          <w:sz w:val="24"/>
          <w:szCs w:val="24"/>
          <w:shd w:fill="auto" w:val="clear"/>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19. </w:t>
      </w:r>
      <w:r>
        <w:rPr>
          <w:rFonts w:eastAsia="Times New Roman" w:cs="Times New Roman" w:ascii="Times New Roman" w:hAnsi="Times New Roman"/>
          <w:b/>
          <w:bCs/>
          <w:sz w:val="24"/>
          <w:szCs w:val="24"/>
          <w:shd w:fill="auto" w:val="clear"/>
          <w:lang w:eastAsia="ru-RU"/>
        </w:rPr>
        <w:t>Организация, проводящая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Организация, проводящая специальную оценку условий труда, должна соответствовать следующим требованиям: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 xml:space="preserve">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w:t>
      </w:r>
      <w:r>
        <w:rPr>
          <w:rFonts w:eastAsia="Times New Roman" w:cs="Times New Roman" w:ascii="Times New Roman" w:hAnsi="Times New Roman"/>
          <w:b/>
          <w:sz w:val="24"/>
          <w:szCs w:val="24"/>
          <w:u w:val="single"/>
          <w:shd w:fill="auto" w:val="clear"/>
          <w:lang w:eastAsia="ru-RU"/>
        </w:rPr>
        <w:t>врач по общей гигиене, врач по гигиене труда, врач по санитарно-гигиеническим лабораторным исследованиям;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20. </w:t>
      </w:r>
      <w:r>
        <w:rPr>
          <w:rFonts w:eastAsia="Times New Roman" w:cs="Times New Roman" w:ascii="Times New Roman" w:hAnsi="Times New Roman"/>
          <w:b/>
          <w:bCs/>
          <w:sz w:val="24"/>
          <w:szCs w:val="24"/>
          <w:shd w:fill="auto" w:val="clear"/>
          <w:lang w:eastAsia="ru-RU"/>
        </w:rPr>
        <w:t>Эксперты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Лица, претендующие на получение сертификата эксперта, должны соответствовать следующим требованиям: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наличие высшего образования;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21. </w:t>
      </w:r>
      <w:r>
        <w:rPr>
          <w:rFonts w:eastAsia="Times New Roman" w:cs="Times New Roman" w:ascii="Times New Roman" w:hAnsi="Times New Roman"/>
          <w:b/>
          <w:bCs/>
          <w:sz w:val="24"/>
          <w:szCs w:val="24"/>
          <w:shd w:fill="auto" w:val="clear"/>
          <w:lang w:eastAsia="ru-RU"/>
        </w:rPr>
        <w:t>Реестр организаций, проводящих специальную оценку условий труда, и реестр экспертов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Порядок формирования и ведения реестра организаций устанавливается Правительством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 реестр организаций вносятся следующие сведения: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полное наименование организации и место ее нахождения;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идентификационный номер налогоплательщика;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основной государственный регистрационный номер;</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регистрационный номер записи в реестре организаций;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дата внесения сведений об организации в реестр организаций;</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реестр экспертов вносятся следующие сведения: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фамилия, имя, отчество (при наличии) эксперта;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дата аннулирования сертификата эксперта.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22. </w:t>
      </w:r>
      <w:r>
        <w:rPr>
          <w:rFonts w:eastAsia="Times New Roman" w:cs="Times New Roman" w:ascii="Times New Roman" w:hAnsi="Times New Roman"/>
          <w:b/>
          <w:bCs/>
          <w:sz w:val="24"/>
          <w:szCs w:val="24"/>
          <w:shd w:fill="auto" w:val="clear"/>
          <w:lang w:eastAsia="ru-RU"/>
        </w:rPr>
        <w:t>Независимость организаций, проводящих специальную оценку условий труда, и экспертов организаций, проводящих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Специальная оценка условий труда не может проводиться: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23. </w:t>
      </w:r>
      <w:r>
        <w:rPr>
          <w:rFonts w:eastAsia="Times New Roman" w:cs="Times New Roman" w:ascii="Times New Roman" w:hAnsi="Times New Roman"/>
          <w:b/>
          <w:bCs/>
          <w:sz w:val="24"/>
          <w:szCs w:val="24"/>
          <w:shd w:fill="auto" w:val="clear"/>
          <w:lang w:eastAsia="ru-RU"/>
        </w:rPr>
        <w:t>Обеспечение исполнения обязательств организации, проводящей специальную оценку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24. </w:t>
      </w:r>
      <w:r>
        <w:rPr>
          <w:rFonts w:eastAsia="Times New Roman" w:cs="Times New Roman" w:ascii="Times New Roman" w:hAnsi="Times New Roman"/>
          <w:b/>
          <w:bCs/>
          <w:sz w:val="24"/>
          <w:szCs w:val="24"/>
          <w:shd w:fill="auto" w:val="clear"/>
          <w:lang w:eastAsia="ru-RU"/>
        </w:rPr>
        <w:t>Экспертиза качества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Экспертиза качества специальной оценки условий труда осуществляется:</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pPr>
        <w:pStyle w:val="Normal"/>
        <w:spacing w:before="280" w:after="280"/>
        <w:ind w:left="0" w:right="0" w:hanging="0"/>
        <w:jc w:val="both"/>
        <w:rPr>
          <w:rFonts w:ascii="Times New Roman" w:hAnsi="Times New Roman" w:eastAsia="Times New Roman" w:cs="Times New Roman"/>
          <w:b/>
          <w:b/>
          <w:bCs/>
          <w:sz w:val="24"/>
          <w:szCs w:val="24"/>
          <w:shd w:fill="auto" w:val="clear"/>
          <w:lang w:eastAsia="ru-RU"/>
        </w:rPr>
      </w:pPr>
      <w:r>
        <w:rPr>
          <w:rFonts w:eastAsia="Times New Roman" w:cs="Times New Roman" w:ascii="Times New Roman" w:hAnsi="Times New Roman"/>
          <w:sz w:val="24"/>
          <w:szCs w:val="24"/>
          <w:shd w:fill="auto" w:val="clear"/>
          <w:lang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b/>
          <w:bCs/>
          <w:sz w:val="24"/>
          <w:szCs w:val="24"/>
          <w:shd w:fill="auto" w:val="clear"/>
          <w:lang w:eastAsia="ru-RU"/>
        </w:rPr>
        <w:t>Глава 4. Заключительные положения</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25. </w:t>
      </w:r>
      <w:r>
        <w:rPr>
          <w:rFonts w:eastAsia="Times New Roman" w:cs="Times New Roman" w:ascii="Times New Roman" w:hAnsi="Times New Roman"/>
          <w:b/>
          <w:bCs/>
          <w:sz w:val="24"/>
          <w:szCs w:val="24"/>
          <w:shd w:fill="auto" w:val="clear"/>
          <w:lang w:eastAsia="ru-RU"/>
        </w:rPr>
        <w:t>Государственный контроль (надзор) и профсоюзный контроль за соблюдением требований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26. </w:t>
      </w:r>
      <w:r>
        <w:rPr>
          <w:rFonts w:eastAsia="Times New Roman" w:cs="Times New Roman" w:ascii="Times New Roman" w:hAnsi="Times New Roman"/>
          <w:b/>
          <w:bCs/>
          <w:sz w:val="24"/>
          <w:szCs w:val="24"/>
          <w:shd w:fill="auto" w:val="clear"/>
          <w:lang w:eastAsia="ru-RU"/>
        </w:rPr>
        <w:t>Рассмотрение разногласий по вопросам проведения специальной оценки условий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27. </w:t>
      </w:r>
      <w:r>
        <w:rPr>
          <w:rFonts w:eastAsia="Times New Roman" w:cs="Times New Roman" w:ascii="Times New Roman" w:hAnsi="Times New Roman"/>
          <w:b/>
          <w:bCs/>
          <w:sz w:val="24"/>
          <w:szCs w:val="24"/>
          <w:shd w:fill="auto" w:val="clear"/>
          <w:lang w:eastAsia="ru-RU"/>
        </w:rPr>
        <w:t>Переходные положения</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w:t>
      </w:r>
      <w:r>
        <w:rPr>
          <w:rFonts w:eastAsia="Times New Roman" w:cs="Times New Roman" w:ascii="Times New Roman" w:hAnsi="Times New Roman"/>
          <w:b/>
          <w:sz w:val="24"/>
          <w:szCs w:val="24"/>
          <w:shd w:fill="auto" w:val="clear"/>
          <w:lang w:eastAsia="ru-RU"/>
        </w:rPr>
        <w:t>до истечения срока действия имеющихся на день вступления в силу настоящего Федерального закона аттестатов аккредитации испытательных лабораторий</w:t>
      </w:r>
      <w:r>
        <w:rPr>
          <w:rFonts w:eastAsia="Times New Roman" w:cs="Times New Roman" w:ascii="Times New Roman" w:hAnsi="Times New Roman"/>
          <w:sz w:val="24"/>
          <w:szCs w:val="24"/>
          <w:shd w:fill="auto" w:val="clear"/>
          <w:lang w:eastAsia="ru-RU"/>
        </w:rPr>
        <w:t xml:space="preserve">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pPr>
        <w:pStyle w:val="Normal"/>
        <w:spacing w:before="280" w:after="280"/>
        <w:ind w:left="0" w:right="0" w:hanging="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shd w:fill="auto" w:val="clear"/>
          <w:lang w:eastAsia="ru-RU"/>
        </w:rPr>
        <w:t>Статья 28. </w:t>
      </w:r>
      <w:r>
        <w:rPr>
          <w:rFonts w:eastAsia="Times New Roman" w:cs="Times New Roman" w:ascii="Times New Roman" w:hAnsi="Times New Roman"/>
          <w:b/>
          <w:bCs/>
          <w:sz w:val="24"/>
          <w:szCs w:val="24"/>
          <w:shd w:fill="auto" w:val="clear"/>
          <w:lang w:eastAsia="ru-RU"/>
        </w:rPr>
        <w:t>Порядок вступления в силу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1. Настоящий Федеральный закон вступает в силу с 1 января 2014 года, за исключением статьи 18 настоящего Федерального закона.</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2. Статья 18 настоящего Федерального закона вступает в силу с 1 января 2016 года.</w:t>
      </w:r>
    </w:p>
    <w:p>
      <w:pPr>
        <w:pStyle w:val="Normal"/>
        <w:spacing w:before="280" w:after="280"/>
        <w:ind w:left="0" w:right="0" w:hanging="0"/>
        <w:jc w:val="both"/>
        <w:rPr>
          <w:rFonts w:ascii="Times New Roman" w:hAnsi="Times New Roman" w:eastAsia="Times New Roman" w:cs="Times New Roman"/>
          <w:b/>
          <w:b/>
          <w:bCs/>
          <w:sz w:val="20"/>
          <w:szCs w:val="20"/>
          <w:shd w:fill="auto" w:val="clear"/>
          <w:lang w:eastAsia="ru-RU"/>
        </w:rPr>
      </w:pPr>
      <w:r>
        <w:rPr>
          <w:rFonts w:eastAsia="Times New Roman" w:cs="Times New Roman" w:ascii="Times New Roman" w:hAnsi="Times New Roman"/>
          <w:sz w:val="24"/>
          <w:szCs w:val="24"/>
          <w:shd w:fill="auto" w:val="clear"/>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w:t>
      </w:r>
    </w:p>
    <w:p>
      <w:pPr>
        <w:pStyle w:val="Normal"/>
        <w:numPr>
          <w:ilvl w:val="0"/>
          <w:numId w:val="0"/>
        </w:numPr>
        <w:spacing w:before="280" w:after="280"/>
        <w:ind w:left="0" w:right="0" w:hanging="0"/>
        <w:jc w:val="right"/>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b/>
          <w:bCs/>
          <w:sz w:val="20"/>
          <w:szCs w:val="20"/>
          <w:shd w:fill="auto" w:val="clear"/>
          <w:lang w:eastAsia="ru-RU"/>
        </w:rPr>
        <w:t>Президент Российской Федерации</w:t>
        <w:br/>
        <w:t>В.В. Путин </w:t>
      </w:r>
    </w:p>
    <w:p>
      <w:pPr>
        <w:pStyle w:val="Normal"/>
        <w:spacing w:before="280" w:after="280"/>
        <w:ind w:left="0" w:right="0" w:hanging="0"/>
        <w:jc w:val="both"/>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 xml:space="preserve">Опубликовано на сайте в 12:59, 28/12/2013. Изменено в 13:03, 30/12/2013. </w:t>
      </w:r>
    </w:p>
    <w:p>
      <w:pPr>
        <w:pStyle w:val="Normal"/>
        <w:ind w:left="0" w:right="0" w:hanging="0"/>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 </w:t>
      </w:r>
    </w:p>
    <w:p>
      <w:pPr>
        <w:pStyle w:val="Normal"/>
        <w:ind w:left="0" w:right="0" w:hanging="0"/>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 </w:t>
      </w:r>
    </w:p>
    <w:p>
      <w:pPr>
        <w:pStyle w:val="Normal"/>
        <w:numPr>
          <w:ilvl w:val="0"/>
          <w:numId w:val="2"/>
        </w:numPr>
        <w:spacing w:before="0" w:after="280"/>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t>© 2013, Министерство труда и социальной защиты РФ</w:t>
      </w:r>
    </w:p>
    <w:p>
      <w:pPr>
        <w:pStyle w:val="Normal"/>
        <w:rPr>
          <w:rFonts w:ascii="Times New Roman" w:hAnsi="Times New Roman" w:eastAsia="Times New Roman" w:cs="Times New Roman"/>
          <w:sz w:val="24"/>
          <w:szCs w:val="24"/>
          <w:shd w:fill="auto" w:val="clear"/>
          <w:lang w:eastAsia="ru-RU"/>
        </w:rPr>
      </w:pPr>
      <w:r>
        <w:rPr>
          <w:rFonts w:eastAsia="Times New Roman" w:cs="Times New Roman" w:ascii="Times New Roman" w:hAnsi="Times New Roman"/>
          <w:sz w:val="24"/>
          <w:szCs w:val="24"/>
          <w:shd w:fill="auto" w:val="clear"/>
          <w:lang w:eastAsia="ru-RU"/>
        </w:rPr>
      </w:r>
    </w:p>
    <w:sectPr>
      <w:type w:val="nextPage"/>
      <w:pgSz w:w="11906" w:h="16838"/>
      <w:pgMar w:left="1701" w:right="850"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Cambria">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Times New Roman">
    <w:charset w:val="cc"/>
    <w:family w:val="roman"/>
    <w:pitch w:val="variable"/>
  </w:font>
  <w:font w:name="Courier New">
    <w:charset w:val="cc"/>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bullet"/>
      <w:lvlText w:val=""/>
      <w:lvlJc w:val="left"/>
      <w:pPr>
        <w:tabs>
          <w:tab w:val="num" w:pos="360"/>
        </w:tabs>
        <w:ind w:left="360" w:hanging="360"/>
      </w:pPr>
      <w:rPr>
        <w:rFonts w:ascii="Symbol" w:hAnsi="Symbol" w:cs="Symbol" w:hint="default"/>
        <w:sz w:val="20"/>
        <w:rFonts w:cs="Symbol"/>
      </w:rPr>
    </w:lvl>
    <w:lvl w:ilvl="1">
      <w:start w:val="1"/>
      <w:numFmt w:val="bullet"/>
      <w:lvlText w:val="o"/>
      <w:lvlJc w:val="left"/>
      <w:pPr>
        <w:tabs>
          <w:tab w:val="num" w:pos="1080"/>
        </w:tabs>
        <w:ind w:left="1080" w:hanging="360"/>
      </w:pPr>
      <w:rPr>
        <w:rFonts w:ascii="Courier New" w:hAnsi="Courier New" w:cs="Courier New" w:hint="default"/>
        <w:sz w:val="20"/>
        <w:rFonts w:cs="Courier New"/>
      </w:rPr>
    </w:lvl>
    <w:lvl w:ilvl="2">
      <w:start w:val="1"/>
      <w:numFmt w:val="bullet"/>
      <w:lvlText w:val=""/>
      <w:lvlJc w:val="left"/>
      <w:pPr>
        <w:tabs>
          <w:tab w:val="num" w:pos="1800"/>
        </w:tabs>
        <w:ind w:left="1800" w:hanging="360"/>
      </w:pPr>
      <w:rPr>
        <w:rFonts w:ascii="Wingdings" w:hAnsi="Wingdings" w:cs="Wingdings" w:hint="default"/>
        <w:sz w:val="20"/>
        <w:rFonts w:cs="Wingdings"/>
      </w:rPr>
    </w:lvl>
    <w:lvl w:ilvl="3">
      <w:start w:val="1"/>
      <w:numFmt w:val="bullet"/>
      <w:lvlText w:val=""/>
      <w:lvlJc w:val="left"/>
      <w:pPr>
        <w:tabs>
          <w:tab w:val="num" w:pos="2520"/>
        </w:tabs>
        <w:ind w:left="2520" w:hanging="360"/>
      </w:pPr>
      <w:rPr>
        <w:rFonts w:ascii="Wingdings" w:hAnsi="Wingdings" w:cs="Wingdings" w:hint="default"/>
        <w:sz w:val="20"/>
        <w:rFonts w:cs="Wingdings"/>
      </w:rPr>
    </w:lvl>
    <w:lvl w:ilvl="4">
      <w:start w:val="1"/>
      <w:numFmt w:val="bullet"/>
      <w:lvlText w:val=""/>
      <w:lvlJc w:val="left"/>
      <w:pPr>
        <w:tabs>
          <w:tab w:val="num" w:pos="3240"/>
        </w:tabs>
        <w:ind w:left="3240" w:hanging="360"/>
      </w:pPr>
      <w:rPr>
        <w:rFonts w:ascii="Wingdings" w:hAnsi="Wingdings" w:cs="Wingdings" w:hint="default"/>
        <w:sz w:val="20"/>
        <w:rFonts w:cs="Wingdings"/>
      </w:rPr>
    </w:lvl>
    <w:lvl w:ilvl="5">
      <w:start w:val="1"/>
      <w:numFmt w:val="bullet"/>
      <w:lvlText w:val=""/>
      <w:lvlJc w:val="left"/>
      <w:pPr>
        <w:tabs>
          <w:tab w:val="num" w:pos="3960"/>
        </w:tabs>
        <w:ind w:left="3960" w:hanging="360"/>
      </w:pPr>
      <w:rPr>
        <w:rFonts w:ascii="Wingdings" w:hAnsi="Wingdings" w:cs="Wingdings" w:hint="default"/>
        <w:sz w:val="20"/>
        <w:rFonts w:cs="Wingdings"/>
      </w:rPr>
    </w:lvl>
    <w:lvl w:ilvl="6">
      <w:start w:val="1"/>
      <w:numFmt w:val="bullet"/>
      <w:lvlText w:val=""/>
      <w:lvlJc w:val="left"/>
      <w:pPr>
        <w:tabs>
          <w:tab w:val="num" w:pos="4680"/>
        </w:tabs>
        <w:ind w:left="4680" w:hanging="360"/>
      </w:pPr>
      <w:rPr>
        <w:rFonts w:ascii="Wingdings" w:hAnsi="Wingdings" w:cs="Wingdings" w:hint="default"/>
        <w:sz w:val="20"/>
        <w:rFonts w:cs="Wingdings"/>
      </w:rPr>
    </w:lvl>
    <w:lvl w:ilvl="7">
      <w:start w:val="1"/>
      <w:numFmt w:val="bullet"/>
      <w:lvlText w:val=""/>
      <w:lvlJc w:val="left"/>
      <w:pPr>
        <w:tabs>
          <w:tab w:val="num" w:pos="5400"/>
        </w:tabs>
        <w:ind w:left="5400" w:hanging="360"/>
      </w:pPr>
      <w:rPr>
        <w:rFonts w:ascii="Wingdings" w:hAnsi="Wingdings" w:cs="Wingdings" w:hint="default"/>
        <w:sz w:val="20"/>
        <w:rFonts w:cs="Wingdings"/>
      </w:rPr>
    </w:lvl>
    <w:lvl w:ilvl="8">
      <w:start w:val="1"/>
      <w:numFmt w:val="bullet"/>
      <w:lvlText w:val=""/>
      <w:lvlJc w:val="left"/>
      <w:pPr>
        <w:tabs>
          <w:tab w:val="num" w:pos="6120"/>
        </w:tabs>
        <w:ind w:left="6120" w:hanging="360"/>
      </w:pPr>
      <w:rPr>
        <w:rFonts w:ascii="Wingdings" w:hAnsi="Wingdings" w:cs="Wingdings" w:hint="default"/>
        <w:sz w:val="20"/>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ru-RU" w:eastAsia="zh-CN" w:bidi="hi-IN"/>
      </w:rPr>
    </w:rPrDefault>
    <w:pPrDefault>
      <w:pPr/>
    </w:pPrDefault>
  </w:docDefaults>
  <w:style w:type="paragraph" w:styleId="Normal">
    <w:name w:val="Normal"/>
    <w:qFormat/>
    <w:pPr>
      <w:widowControl/>
      <w:suppressAutoHyphens w:val="true"/>
      <w:bidi w:val="0"/>
      <w:ind w:left="0" w:right="0" w:firstLine="360"/>
    </w:pPr>
    <w:rPr>
      <w:rFonts w:ascii="Calibri" w:hAnsi="Calibri" w:eastAsia="Calibri" w:cs="Times New Roman"/>
      <w:color w:val="auto"/>
      <w:sz w:val="22"/>
      <w:szCs w:val="22"/>
      <w:lang w:val="ru-RU" w:eastAsia="zh-CN" w:bidi="ar-SA"/>
    </w:rPr>
  </w:style>
  <w:style w:type="paragraph" w:styleId="1">
    <w:name w:val="Заголовок 1"/>
    <w:basedOn w:val="Normal"/>
    <w:next w:val="Normal"/>
    <w:pPr>
      <w:numPr>
        <w:ilvl w:val="0"/>
        <w:numId w:val="1"/>
      </w:numPr>
      <w:pBdr>
        <w:bottom w:val="single" w:sz="12" w:space="1" w:color="365F91"/>
      </w:pBdr>
      <w:spacing w:before="600" w:after="80"/>
      <w:ind w:left="0" w:right="0" w:hanging="0"/>
      <w:outlineLvl w:val="0"/>
      <w:outlineLvl w:val="0"/>
    </w:pPr>
    <w:rPr>
      <w:rFonts w:ascii="Cambria" w:hAnsi="Cambria" w:eastAsia="Times New Roman" w:cs="Cambria"/>
      <w:b/>
      <w:bCs/>
      <w:color w:val="365F91"/>
      <w:sz w:val="24"/>
      <w:szCs w:val="24"/>
    </w:rPr>
  </w:style>
  <w:style w:type="paragraph" w:styleId="2">
    <w:name w:val="Заголовок 2"/>
    <w:basedOn w:val="Normal"/>
    <w:next w:val="Normal"/>
    <w:pPr>
      <w:numPr>
        <w:ilvl w:val="1"/>
        <w:numId w:val="1"/>
      </w:numPr>
      <w:pBdr>
        <w:bottom w:val="single" w:sz="8" w:space="1" w:color="4F81BD"/>
      </w:pBdr>
      <w:spacing w:before="200" w:after="80"/>
      <w:ind w:left="0" w:right="0" w:hanging="0"/>
      <w:outlineLvl w:val="1"/>
      <w:outlineLvl w:val="1"/>
    </w:pPr>
    <w:rPr>
      <w:rFonts w:ascii="Cambria" w:hAnsi="Cambria" w:eastAsia="Times New Roman" w:cs="Times New Roman"/>
      <w:color w:val="365F91"/>
      <w:sz w:val="24"/>
      <w:szCs w:val="24"/>
    </w:rPr>
  </w:style>
  <w:style w:type="paragraph" w:styleId="3">
    <w:name w:val="Заголовок 3"/>
    <w:basedOn w:val="Normal"/>
    <w:next w:val="Normal"/>
    <w:pPr>
      <w:numPr>
        <w:ilvl w:val="2"/>
        <w:numId w:val="1"/>
      </w:numPr>
      <w:pBdr>
        <w:bottom w:val="single" w:sz="4" w:space="1" w:color="95B3D7"/>
      </w:pBdr>
      <w:spacing w:before="200" w:after="80"/>
      <w:ind w:left="0" w:right="0" w:hanging="0"/>
      <w:outlineLvl w:val="2"/>
      <w:outlineLvl w:val="2"/>
    </w:pPr>
    <w:rPr>
      <w:rFonts w:ascii="Cambria" w:hAnsi="Cambria" w:eastAsia="Times New Roman" w:cs="Arial"/>
      <w:color w:val="4F81BD"/>
      <w:sz w:val="24"/>
      <w:szCs w:val="24"/>
    </w:rPr>
  </w:style>
  <w:style w:type="paragraph" w:styleId="4">
    <w:name w:val="Заголовок 4"/>
    <w:basedOn w:val="Normal"/>
    <w:next w:val="Normal"/>
    <w:pPr>
      <w:numPr>
        <w:ilvl w:val="3"/>
        <w:numId w:val="1"/>
      </w:numPr>
      <w:pBdr>
        <w:bottom w:val="single" w:sz="4" w:space="2" w:color="B8CCE4"/>
      </w:pBdr>
      <w:spacing w:before="200" w:after="80"/>
      <w:ind w:left="0" w:right="0" w:hanging="0"/>
      <w:outlineLvl w:val="3"/>
      <w:outlineLvl w:val="3"/>
    </w:pPr>
    <w:rPr>
      <w:rFonts w:ascii="Cambria" w:hAnsi="Cambria" w:cs="Cambria"/>
      <w:i/>
      <w:iCs/>
      <w:color w:val="4F81BD"/>
      <w:sz w:val="24"/>
      <w:szCs w:val="24"/>
    </w:rPr>
  </w:style>
  <w:style w:type="paragraph" w:styleId="5">
    <w:name w:val="Заголовок 5"/>
    <w:basedOn w:val="Normal"/>
    <w:next w:val="Normal"/>
    <w:pPr>
      <w:numPr>
        <w:ilvl w:val="4"/>
        <w:numId w:val="1"/>
      </w:numPr>
      <w:spacing w:before="200" w:after="80"/>
      <w:ind w:left="0" w:right="0" w:hanging="0"/>
      <w:outlineLvl w:val="4"/>
      <w:outlineLvl w:val="4"/>
    </w:pPr>
    <w:rPr>
      <w:rFonts w:ascii="Cambria" w:hAnsi="Cambria" w:cs="Cambria"/>
      <w:color w:val="4F81BD"/>
      <w:sz w:val="20"/>
      <w:szCs w:val="20"/>
    </w:rPr>
  </w:style>
  <w:style w:type="paragraph" w:styleId="6">
    <w:name w:val="Заголовок 6"/>
    <w:basedOn w:val="Normal"/>
    <w:next w:val="Normal"/>
    <w:pPr>
      <w:numPr>
        <w:ilvl w:val="5"/>
        <w:numId w:val="1"/>
      </w:numPr>
      <w:spacing w:before="280" w:after="100"/>
      <w:ind w:left="0" w:right="0" w:hanging="0"/>
      <w:outlineLvl w:val="5"/>
      <w:outlineLvl w:val="5"/>
    </w:pPr>
    <w:rPr>
      <w:rFonts w:ascii="Cambria" w:hAnsi="Cambria" w:cs="Cambria"/>
      <w:i/>
      <w:iCs/>
      <w:color w:val="4F81BD"/>
      <w:sz w:val="20"/>
      <w:szCs w:val="20"/>
    </w:rPr>
  </w:style>
  <w:style w:type="paragraph" w:styleId="7">
    <w:name w:val="Заголовок 7"/>
    <w:basedOn w:val="Normal"/>
    <w:next w:val="Normal"/>
    <w:pPr>
      <w:numPr>
        <w:ilvl w:val="6"/>
        <w:numId w:val="1"/>
      </w:numPr>
      <w:spacing w:before="320" w:after="100"/>
      <w:ind w:left="0" w:right="0" w:hanging="0"/>
      <w:outlineLvl w:val="6"/>
      <w:outlineLvl w:val="6"/>
    </w:pPr>
    <w:rPr>
      <w:rFonts w:ascii="Cambria" w:hAnsi="Cambria" w:cs="Cambria"/>
      <w:b/>
      <w:bCs/>
      <w:color w:val="9BBB59"/>
      <w:sz w:val="20"/>
      <w:szCs w:val="20"/>
    </w:rPr>
  </w:style>
  <w:style w:type="paragraph" w:styleId="8">
    <w:name w:val="Заголовок 8"/>
    <w:basedOn w:val="Normal"/>
    <w:next w:val="Normal"/>
    <w:pPr>
      <w:numPr>
        <w:ilvl w:val="7"/>
        <w:numId w:val="1"/>
      </w:numPr>
      <w:spacing w:before="320" w:after="100"/>
      <w:ind w:left="0" w:right="0" w:hanging="0"/>
      <w:outlineLvl w:val="7"/>
      <w:outlineLvl w:val="7"/>
    </w:pPr>
    <w:rPr>
      <w:rFonts w:ascii="Cambria" w:hAnsi="Cambria" w:cs="Cambria"/>
      <w:b/>
      <w:bCs/>
      <w:i/>
      <w:iCs/>
      <w:color w:val="9BBB59"/>
      <w:sz w:val="20"/>
      <w:szCs w:val="20"/>
    </w:rPr>
  </w:style>
  <w:style w:type="paragraph" w:styleId="9">
    <w:name w:val="Заголовок 9"/>
    <w:basedOn w:val="Normal"/>
    <w:next w:val="Normal"/>
    <w:pPr>
      <w:numPr>
        <w:ilvl w:val="8"/>
        <w:numId w:val="1"/>
      </w:numPr>
      <w:spacing w:before="320" w:after="100"/>
      <w:ind w:left="0" w:right="0" w:hanging="0"/>
      <w:outlineLvl w:val="8"/>
      <w:outlineLvl w:val="8"/>
    </w:pPr>
    <w:rPr>
      <w:rFonts w:ascii="Cambria" w:hAnsi="Cambria" w:eastAsia="Times New Roman" w:cs="Cambria"/>
      <w:i/>
      <w:iCs/>
      <w:color w:val="9BBB59"/>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Style5">
    <w:name w:val="Основной шрифт абзаца"/>
    <w:qFormat/>
    <w:rPr/>
  </w:style>
  <w:style w:type="character" w:styleId="11">
    <w:name w:val="Заголовок 1 Знак"/>
    <w:qFormat/>
    <w:rPr>
      <w:rFonts w:ascii="Cambria" w:hAnsi="Cambria" w:eastAsia="Times New Roman" w:cs="Cambria"/>
      <w:b/>
      <w:bCs/>
      <w:color w:val="365F91"/>
      <w:sz w:val="24"/>
      <w:szCs w:val="24"/>
    </w:rPr>
  </w:style>
  <w:style w:type="character" w:styleId="Style6">
    <w:name w:val="Название Знак"/>
    <w:qFormat/>
    <w:rPr>
      <w:rFonts w:ascii="Cambria" w:hAnsi="Cambria" w:eastAsia="Times New Roman" w:cs="Times New Roman"/>
      <w:i/>
      <w:iCs/>
      <w:color w:val="243F60"/>
      <w:sz w:val="60"/>
      <w:szCs w:val="60"/>
    </w:rPr>
  </w:style>
  <w:style w:type="character" w:styleId="Style7">
    <w:name w:val="Подзаголовок Знак"/>
    <w:qFormat/>
    <w:rPr>
      <w:i/>
      <w:iCs/>
      <w:sz w:val="24"/>
      <w:szCs w:val="24"/>
    </w:rPr>
  </w:style>
  <w:style w:type="character" w:styleId="Style8">
    <w:name w:val="Основной текст Знак"/>
    <w:qFormat/>
    <w:rPr>
      <w:sz w:val="24"/>
      <w:szCs w:val="24"/>
    </w:rPr>
  </w:style>
  <w:style w:type="character" w:styleId="Style9">
    <w:name w:val="Выделение жирным"/>
    <w:rPr>
      <w:b/>
      <w:bCs/>
      <w:spacing w:val="0"/>
    </w:rPr>
  </w:style>
  <w:style w:type="character" w:styleId="21">
    <w:name w:val="Заголовок 2 Знак"/>
    <w:qFormat/>
    <w:rPr>
      <w:rFonts w:ascii="Cambria" w:hAnsi="Cambria" w:eastAsia="Times New Roman" w:cs="Times New Roman"/>
      <w:color w:val="365F91"/>
      <w:sz w:val="24"/>
      <w:szCs w:val="24"/>
    </w:rPr>
  </w:style>
  <w:style w:type="character" w:styleId="31">
    <w:name w:val="Заголовок 3 Знак"/>
    <w:qFormat/>
    <w:rPr>
      <w:rFonts w:ascii="Cambria" w:hAnsi="Cambria" w:eastAsia="Times New Roman" w:cs="Arial"/>
      <w:color w:val="4F81BD"/>
      <w:sz w:val="24"/>
      <w:szCs w:val="24"/>
    </w:rPr>
  </w:style>
  <w:style w:type="character" w:styleId="Style10">
    <w:name w:val="Без интервала Знак"/>
    <w:qFormat/>
    <w:rPr/>
  </w:style>
  <w:style w:type="character" w:styleId="41">
    <w:name w:val="Заголовок 4 Знак"/>
    <w:qFormat/>
    <w:rPr>
      <w:rFonts w:ascii="Cambria" w:hAnsi="Cambria" w:cs="Cambria"/>
      <w:i/>
      <w:iCs/>
      <w:color w:val="4F81BD"/>
      <w:sz w:val="24"/>
      <w:szCs w:val="24"/>
    </w:rPr>
  </w:style>
  <w:style w:type="character" w:styleId="51">
    <w:name w:val="Заголовок 5 Знак"/>
    <w:qFormat/>
    <w:rPr>
      <w:rFonts w:ascii="Cambria" w:hAnsi="Cambria" w:cs="Cambria"/>
      <w:color w:val="4F81BD"/>
    </w:rPr>
  </w:style>
  <w:style w:type="character" w:styleId="61">
    <w:name w:val="Заголовок 6 Знак"/>
    <w:qFormat/>
    <w:rPr>
      <w:rFonts w:ascii="Cambria" w:hAnsi="Cambria" w:cs="Cambria"/>
      <w:i/>
      <w:iCs/>
      <w:color w:val="4F81BD"/>
    </w:rPr>
  </w:style>
  <w:style w:type="character" w:styleId="71">
    <w:name w:val="Заголовок 7 Знак"/>
    <w:qFormat/>
    <w:rPr>
      <w:rFonts w:ascii="Cambria" w:hAnsi="Cambria" w:cs="Cambria"/>
      <w:b/>
      <w:bCs/>
      <w:color w:val="9BBB59"/>
    </w:rPr>
  </w:style>
  <w:style w:type="character" w:styleId="81">
    <w:name w:val="Заголовок 8 Знак"/>
    <w:qFormat/>
    <w:rPr>
      <w:rFonts w:ascii="Cambria" w:hAnsi="Cambria" w:cs="Cambria"/>
      <w:b/>
      <w:bCs/>
      <w:i/>
      <w:iCs/>
      <w:color w:val="9BBB59"/>
    </w:rPr>
  </w:style>
  <w:style w:type="character" w:styleId="91">
    <w:name w:val="Заголовок 9 Знак"/>
    <w:qFormat/>
    <w:rPr>
      <w:rFonts w:ascii="Cambria" w:hAnsi="Cambria" w:eastAsia="Times New Roman" w:cs="Cambria"/>
      <w:i/>
      <w:iCs/>
      <w:color w:val="9BBB59"/>
    </w:rPr>
  </w:style>
  <w:style w:type="character" w:styleId="Style11">
    <w:name w:val="Выделение"/>
    <w:rPr>
      <w:b/>
      <w:bCs/>
      <w:i/>
      <w:iCs/>
      <w:color w:val="5A5A5A"/>
    </w:rPr>
  </w:style>
  <w:style w:type="character" w:styleId="22">
    <w:name w:val="Цитата 2 Знак"/>
    <w:qFormat/>
    <w:rPr>
      <w:rFonts w:ascii="Cambria" w:hAnsi="Cambria" w:cs="Cambria"/>
      <w:i/>
      <w:iCs/>
      <w:color w:val="5A5A5A"/>
    </w:rPr>
  </w:style>
  <w:style w:type="character" w:styleId="Style12">
    <w:name w:val="Выделенная цитата Знак"/>
    <w:qFormat/>
    <w:rPr>
      <w:rFonts w:ascii="Cambria" w:hAnsi="Cambria" w:cs="Cambria"/>
      <w:i/>
      <w:iCs/>
      <w:color w:val="FFFFFF"/>
      <w:sz w:val="24"/>
      <w:szCs w:val="24"/>
      <w:shd w:fill="4F81BD" w:val="clear"/>
    </w:rPr>
  </w:style>
  <w:style w:type="character" w:styleId="Style13">
    <w:name w:val="Слабое выделение"/>
    <w:qFormat/>
    <w:rPr>
      <w:i/>
      <w:iCs/>
      <w:color w:val="5A5A5A"/>
    </w:rPr>
  </w:style>
  <w:style w:type="character" w:styleId="Style14">
    <w:name w:val="Сильное выделение"/>
    <w:qFormat/>
    <w:rPr>
      <w:b/>
      <w:bCs/>
      <w:i/>
      <w:iCs/>
      <w:color w:val="4F81BD"/>
      <w:sz w:val="22"/>
      <w:szCs w:val="22"/>
    </w:rPr>
  </w:style>
  <w:style w:type="character" w:styleId="Style15">
    <w:name w:val="Слабая ссылка"/>
    <w:qFormat/>
    <w:rPr>
      <w:color w:val="000000"/>
      <w:u w:val="single" w:color="9BBB59"/>
    </w:rPr>
  </w:style>
  <w:style w:type="character" w:styleId="Style16">
    <w:name w:val="Сильная ссылка"/>
    <w:qFormat/>
    <w:rPr>
      <w:b/>
      <w:bCs/>
      <w:color w:val="76923C"/>
      <w:u w:val="single" w:color="9BBB59"/>
    </w:rPr>
  </w:style>
  <w:style w:type="character" w:styleId="Style17">
    <w:name w:val="Название книги"/>
    <w:qFormat/>
    <w:rPr>
      <w:rFonts w:ascii="Cambria" w:hAnsi="Cambria" w:eastAsia="Times New Roman" w:cs="Times New Roman"/>
      <w:b/>
      <w:bCs/>
      <w:i/>
      <w:iCs/>
      <w:color w:val="000000"/>
    </w:rPr>
  </w:style>
  <w:style w:type="character" w:styleId="Style18">
    <w:name w:val="Основной текст с отступом Знак"/>
    <w:qFormat/>
    <w:rPr>
      <w:sz w:val="24"/>
      <w:szCs w:val="24"/>
    </w:rPr>
  </w:style>
  <w:style w:type="character" w:styleId="Style19">
    <w:name w:val="Интернет-ссылка"/>
    <w:rPr>
      <w:color w:val="0000FF"/>
      <w:u w:val="single"/>
    </w:rPr>
  </w:style>
  <w:style w:type="character" w:styleId="Plus">
    <w:name w:val="plus"/>
    <w:qFormat/>
    <w:rPr/>
  </w:style>
  <w:style w:type="character" w:styleId="Style20">
    <w:name w:val="Текст выноски Знак"/>
    <w:qFormat/>
    <w:rPr>
      <w:rFonts w:ascii="Tahoma" w:hAnsi="Tahoma" w:cs="Tahoma"/>
      <w:sz w:val="16"/>
      <w:szCs w:val="16"/>
    </w:rPr>
  </w:style>
  <w:style w:type="paragraph" w:styleId="Style21">
    <w:name w:val="Заголовок"/>
    <w:basedOn w:val="Normal"/>
    <w:next w:val="Normal"/>
    <w:qFormat/>
    <w:pPr>
      <w:pBdr>
        <w:top w:val="single" w:sz="8" w:space="10" w:color="A7BFDE"/>
        <w:bottom w:val="single" w:sz="24" w:space="15" w:color="9BBB59"/>
      </w:pBdr>
      <w:ind w:left="0" w:right="0" w:hanging="0"/>
      <w:jc w:val="center"/>
    </w:pPr>
    <w:rPr>
      <w:rFonts w:ascii="Cambria" w:hAnsi="Cambria" w:eastAsia="Times New Roman" w:cs="Times New Roman"/>
      <w:i/>
      <w:iCs/>
      <w:color w:val="243F60"/>
      <w:sz w:val="60"/>
      <w:szCs w:val="60"/>
    </w:rPr>
  </w:style>
  <w:style w:type="paragraph" w:styleId="Style22">
    <w:name w:val="Основной текст"/>
    <w:basedOn w:val="Normal"/>
    <w:pPr>
      <w:spacing w:before="0" w:after="120"/>
    </w:pPr>
    <w:rPr/>
  </w:style>
  <w:style w:type="paragraph" w:styleId="Style23">
    <w:name w:val="Список"/>
    <w:basedOn w:val="Style22"/>
    <w:pPr/>
    <w:rPr>
      <w:rFonts w:cs="FreeSans"/>
    </w:rPr>
  </w:style>
  <w:style w:type="paragraph" w:styleId="Style24">
    <w:name w:val="Название"/>
    <w:basedOn w:val="Normal"/>
    <w:pPr>
      <w:suppressLineNumbers/>
      <w:spacing w:before="120" w:after="120"/>
    </w:pPr>
    <w:rPr>
      <w:rFonts w:cs="FreeSans"/>
      <w:i/>
      <w:iCs/>
      <w:sz w:val="24"/>
      <w:szCs w:val="24"/>
    </w:rPr>
  </w:style>
  <w:style w:type="paragraph" w:styleId="Style25">
    <w:name w:val="Указатель"/>
    <w:basedOn w:val="Normal"/>
    <w:qFormat/>
    <w:pPr>
      <w:suppressLineNumbers/>
    </w:pPr>
    <w:rPr>
      <w:rFonts w:cs="FreeSans"/>
    </w:rPr>
  </w:style>
  <w:style w:type="paragraph" w:styleId="Style26">
    <w:name w:val="Подзаголовок"/>
    <w:basedOn w:val="Normal"/>
    <w:next w:val="Normal"/>
    <w:pPr>
      <w:spacing w:before="200" w:after="900"/>
      <w:ind w:left="0" w:right="0" w:hanging="0"/>
      <w:jc w:val="right"/>
    </w:pPr>
    <w:rPr>
      <w:i/>
      <w:iCs/>
      <w:sz w:val="24"/>
      <w:szCs w:val="24"/>
    </w:rPr>
  </w:style>
  <w:style w:type="paragraph" w:styleId="Style27">
    <w:name w:val="Название объекта"/>
    <w:basedOn w:val="Normal"/>
    <w:next w:val="Normal"/>
    <w:qFormat/>
    <w:pPr/>
    <w:rPr>
      <w:b/>
      <w:bCs/>
      <w:sz w:val="18"/>
      <w:szCs w:val="18"/>
    </w:rPr>
  </w:style>
  <w:style w:type="paragraph" w:styleId="Style28">
    <w:name w:val="Без интервала"/>
    <w:basedOn w:val="Normal"/>
    <w:qFormat/>
    <w:pPr>
      <w:ind w:left="0" w:right="0" w:hanging="0"/>
    </w:pPr>
    <w:rPr>
      <w:sz w:val="20"/>
      <w:szCs w:val="20"/>
    </w:rPr>
  </w:style>
  <w:style w:type="paragraph" w:styleId="Style29">
    <w:name w:val="Абзац списка"/>
    <w:basedOn w:val="Normal"/>
    <w:qFormat/>
    <w:pPr>
      <w:spacing w:before="0" w:after="0"/>
      <w:ind w:left="720" w:right="0" w:firstLine="360"/>
      <w:contextualSpacing/>
    </w:pPr>
    <w:rPr/>
  </w:style>
  <w:style w:type="paragraph" w:styleId="12">
    <w:name w:val="Оглавление 1"/>
    <w:basedOn w:val="Normal"/>
    <w:next w:val="Normal"/>
    <w:pPr>
      <w:spacing w:lineRule="auto" w:line="276" w:before="0" w:after="100"/>
    </w:pPr>
    <w:rPr/>
  </w:style>
  <w:style w:type="paragraph" w:styleId="23">
    <w:name w:val="Оглавление 2"/>
    <w:basedOn w:val="Normal"/>
    <w:next w:val="Normal"/>
    <w:pPr>
      <w:ind w:left="240" w:right="0" w:firstLine="360"/>
    </w:pPr>
    <w:rPr/>
  </w:style>
  <w:style w:type="paragraph" w:styleId="32">
    <w:name w:val="Оглавление 3"/>
    <w:basedOn w:val="Normal"/>
    <w:next w:val="Normal"/>
    <w:pPr>
      <w:spacing w:lineRule="auto" w:line="276" w:before="0" w:after="100"/>
      <w:ind w:left="440" w:right="0" w:firstLine="360"/>
    </w:pPr>
    <w:rPr/>
  </w:style>
  <w:style w:type="paragraph" w:styleId="Style30">
    <w:name w:val="Заголовок оглавления"/>
    <w:basedOn w:val="1"/>
    <w:next w:val="Normal"/>
    <w:pPr>
      <w:numPr>
        <w:ilvl w:val="0"/>
        <w:numId w:val="0"/>
      </w:numPr>
      <w:ind w:left="0" w:right="0" w:hanging="0"/>
    </w:pPr>
    <w:rPr>
      <w:lang w:bidi="en-US"/>
    </w:rPr>
  </w:style>
  <w:style w:type="paragraph" w:styleId="24">
    <w:name w:val="Цитата 2"/>
    <w:basedOn w:val="Normal"/>
    <w:next w:val="Normal"/>
    <w:qFormat/>
    <w:pPr/>
    <w:rPr>
      <w:rFonts w:ascii="Cambria" w:hAnsi="Cambria" w:cs="Cambria"/>
      <w:i/>
      <w:iCs/>
      <w:color w:val="5A5A5A"/>
      <w:sz w:val="20"/>
      <w:szCs w:val="20"/>
    </w:rPr>
  </w:style>
  <w:style w:type="paragraph" w:styleId="Style31">
    <w:name w:val="Выделенная цитата"/>
    <w:basedOn w:val="Normal"/>
    <w:next w:val="Normal"/>
    <w:qFormat/>
    <w:pPr>
      <w:pBdr>
        <w:top w:val="single" w:sz="12" w:space="10" w:color="B8CCE4"/>
        <w:left w:val="single" w:sz="36" w:space="4" w:color="4F81BD"/>
        <w:bottom w:val="single" w:sz="24" w:space="10" w:color="9BBB59"/>
        <w:right w:val="single" w:sz="36" w:space="4" w:color="4F81BD"/>
      </w:pBdr>
      <w:shd w:fill="4F81BD" w:val="clear"/>
      <w:spacing w:lineRule="auto" w:line="300" w:before="320" w:after="320"/>
      <w:ind w:left="1440" w:right="1440" w:firstLine="360"/>
    </w:pPr>
    <w:rPr>
      <w:rFonts w:ascii="Cambria" w:hAnsi="Cambria" w:cs="Cambria"/>
      <w:i/>
      <w:iCs/>
      <w:color w:val="FFFFFF"/>
      <w:sz w:val="24"/>
      <w:szCs w:val="24"/>
    </w:rPr>
  </w:style>
  <w:style w:type="paragraph" w:styleId="Style32">
    <w:name w:val="Основной текст с отступом"/>
    <w:basedOn w:val="Normal"/>
    <w:pPr>
      <w:spacing w:before="0" w:after="120"/>
      <w:ind w:left="283" w:right="0" w:firstLine="360"/>
    </w:pPr>
    <w:rPr/>
  </w:style>
  <w:style w:type="paragraph" w:styleId="13">
    <w:name w:val="Стиль1"/>
    <w:basedOn w:val="Style32"/>
    <w:qFormat/>
    <w:pPr>
      <w:suppressAutoHyphens w:val="true"/>
      <w:ind w:left="0" w:right="0" w:firstLine="851"/>
      <w:jc w:val="both"/>
    </w:pPr>
    <w:rPr>
      <w:rFonts w:ascii="Times New Roman" w:hAnsi="Times New Roman" w:eastAsia="Times New Roman" w:cs="Times New Roman"/>
      <w:sz w:val="20"/>
      <w:szCs w:val="20"/>
    </w:rPr>
  </w:style>
  <w:style w:type="paragraph" w:styleId="Style33">
    <w:name w:val="Обычный (веб)"/>
    <w:basedOn w:val="Normal"/>
    <w:qFormat/>
    <w:pPr>
      <w:spacing w:before="280" w:after="280"/>
      <w:ind w:left="0" w:right="0" w:hanging="0"/>
    </w:pPr>
    <w:rPr>
      <w:rFonts w:ascii="Times New Roman" w:hAnsi="Times New Roman" w:eastAsia="Times New Roman" w:cs="Times New Roman"/>
      <w:sz w:val="24"/>
      <w:szCs w:val="24"/>
    </w:rPr>
  </w:style>
  <w:style w:type="paragraph" w:styleId="Blue">
    <w:name w:val="blue"/>
    <w:basedOn w:val="Normal"/>
    <w:qFormat/>
    <w:pPr>
      <w:spacing w:before="280" w:after="280"/>
      <w:ind w:left="0" w:right="0" w:hanging="0"/>
    </w:pPr>
    <w:rPr>
      <w:rFonts w:ascii="Times New Roman" w:hAnsi="Times New Roman" w:eastAsia="Times New Roman" w:cs="Times New Roman"/>
      <w:sz w:val="24"/>
      <w:szCs w:val="24"/>
    </w:rPr>
  </w:style>
  <w:style w:type="paragraph" w:styleId="Createdate">
    <w:name w:val="create-date"/>
    <w:basedOn w:val="Normal"/>
    <w:qFormat/>
    <w:pPr>
      <w:spacing w:before="280" w:after="280"/>
      <w:ind w:left="0" w:right="0" w:hanging="0"/>
    </w:pPr>
    <w:rPr>
      <w:rFonts w:ascii="Times New Roman" w:hAnsi="Times New Roman" w:eastAsia="Times New Roman" w:cs="Times New Roman"/>
      <w:sz w:val="24"/>
      <w:szCs w:val="24"/>
    </w:rPr>
  </w:style>
  <w:style w:type="paragraph" w:styleId="First">
    <w:name w:val="first"/>
    <w:basedOn w:val="Normal"/>
    <w:qFormat/>
    <w:pPr>
      <w:spacing w:before="280" w:after="280"/>
      <w:ind w:left="0" w:right="0" w:hanging="0"/>
    </w:pPr>
    <w:rPr>
      <w:rFonts w:ascii="Times New Roman" w:hAnsi="Times New Roman" w:eastAsia="Times New Roman" w:cs="Times New Roman"/>
      <w:sz w:val="24"/>
      <w:szCs w:val="24"/>
    </w:rPr>
  </w:style>
  <w:style w:type="paragraph" w:styleId="Small">
    <w:name w:val="small"/>
    <w:basedOn w:val="Normal"/>
    <w:qFormat/>
    <w:pPr>
      <w:spacing w:before="280" w:after="280"/>
      <w:ind w:left="0" w:right="0" w:hanging="0"/>
    </w:pPr>
    <w:rPr>
      <w:rFonts w:ascii="Times New Roman" w:hAnsi="Times New Roman" w:eastAsia="Times New Roman" w:cs="Times New Roman"/>
      <w:sz w:val="24"/>
      <w:szCs w:val="24"/>
    </w:rPr>
  </w:style>
  <w:style w:type="paragraph" w:styleId="Style34">
    <w:name w:val="Текст выноски"/>
    <w:basedOn w:val="Normal"/>
    <w:qFormat/>
    <w:pPr/>
    <w:rPr>
      <w:rFonts w:ascii="Tahoma" w:hAnsi="Tahoma" w:cs="Tahoma"/>
      <w:sz w:val="16"/>
      <w:szCs w:val="16"/>
    </w:rPr>
  </w:style>
  <w:style w:type="paragraph" w:styleId="Style35">
    <w:name w:val="Блочная цитата"/>
    <w:basedOn w:val="Normal"/>
    <w:qFormat/>
    <w:pPr>
      <w:spacing w:before="0" w:after="283"/>
      <w:ind w:left="567" w:right="567" w:hanging="0"/>
    </w:pPr>
    <w:rPr/>
  </w:style>
  <w:style w:type="paragraph" w:styleId="Style36">
    <w:name w:val="Заглавие"/>
    <w:basedOn w:val="Style21"/>
    <w:next w:val="Style22"/>
    <w:pPr>
      <w:jc w:val="center"/>
    </w:pPr>
    <w:rPr>
      <w:b/>
      <w:bCs/>
      <w:sz w:val="56"/>
      <w:szCs w:val="56"/>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950</TotalTime>
  <Application>LibreOffice/5.0.2.2$Linux_X86_64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2014-01-09T11:59:00Z</dcterms:created>
  <dc:creator>Владимир Борисович</dc:creator>
  <dc:language>ru-RU</dc:language>
  <dcterms:modified xsi:type="dcterms:W3CDTF">2015-12-16T13:56:34Z</dcterms:modified>
  <cp:revision>15</cp:revision>
</cp:coreProperties>
</file>